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E792" w14:textId="327DDA51" w:rsidR="00F55102" w:rsidRPr="00E87DF0" w:rsidRDefault="00F5510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bookmarkStart w:id="0" w:name="_Hlk179101815"/>
      <w:r w:rsidRPr="00E87DF0">
        <w:rPr>
          <w:rFonts w:ascii="Titillium Web" w:eastAsiaTheme="minorEastAsia" w:hAnsi="Titillium Web"/>
          <w:b/>
          <w:bCs/>
          <w:kern w:val="0"/>
          <w:sz w:val="28"/>
          <w:szCs w:val="28"/>
          <w:lang w:eastAsia="it-IT"/>
          <w14:ligatures w14:val="none"/>
        </w:rPr>
        <w:t xml:space="preserve">“Nell’oggi cammina già il </w:t>
      </w:r>
      <w:proofErr w:type="gramStart"/>
      <w:r w:rsidRPr="00E87DF0">
        <w:rPr>
          <w:rFonts w:ascii="Titillium Web" w:eastAsiaTheme="minorEastAsia" w:hAnsi="Titillium Web"/>
          <w:b/>
          <w:bCs/>
          <w:kern w:val="0"/>
          <w:sz w:val="28"/>
          <w:szCs w:val="28"/>
          <w:lang w:eastAsia="it-IT"/>
          <w14:ligatures w14:val="none"/>
        </w:rPr>
        <w:t>domani”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 </w:t>
      </w:r>
      <w:r w:rsid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bookmarkStart w:id="1" w:name="_Hlk179276022"/>
      <w:proofErr w:type="gramEnd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Samuel Taylor Coleridge</w:t>
      </w:r>
      <w:bookmarkEnd w:id="1"/>
    </w:p>
    <w:p w14:paraId="35F79DC2" w14:textId="77777777" w:rsidR="00F55102" w:rsidRPr="00E87DF0" w:rsidRDefault="00F5510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</w:p>
    <w:p w14:paraId="66610C97" w14:textId="4D1A3C97" w:rsidR="001C192F" w:rsidRPr="00E87DF0" w:rsidRDefault="001C192F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Dopo il rendiconto sociale 2022 dell’</w:t>
      </w:r>
      <w:r w:rsidR="00227E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’INP</w:t>
      </w:r>
      <w:r w:rsidR="00120A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S, </w:t>
      </w:r>
      <w:r w:rsidR="00CD0C25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="00120A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 Comitato e la direzione provinciale di Treviso i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</w:t>
      </w:r>
      <w:r w:rsidR="00120A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collaborazione con il consiglio di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indirizzo</w:t>
      </w:r>
      <w:r w:rsidR="00120A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 vigilanza</w:t>
      </w:r>
      <w:r w:rsidR="00120ABC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presentano il rendiconto sociale provinciale 2023.</w:t>
      </w:r>
    </w:p>
    <w:p w14:paraId="565E3F40" w14:textId="17B7249F" w:rsidR="00120ABC" w:rsidRPr="00E87DF0" w:rsidRDefault="00120ABC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Il contesto s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oc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io-politico-economico continua a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essere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segnato da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trasformazion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crisi delle attività produttive e commercial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con ricadute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negative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sul sistema del welfare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state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accentuate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dalle guerre in corso e dalla </w:t>
      </w:r>
      <w:r w:rsidR="00DF69FB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inefficacia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poli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ti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che che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favoriscono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pace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bookmarkEnd w:id="0"/>
    <w:p w14:paraId="01C6B8B1" w14:textId="5D934566" w:rsidR="00120ABC" w:rsidRPr="00E87DF0" w:rsidRDefault="00120ABC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Il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rendiconto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2023 si è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ulteriormente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implementato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nuove tavole che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consentono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alle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istituzioni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local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alle parti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sociali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alle categorie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economiche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avere una visione qualitativa del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panorama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socio demografico, del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mercato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del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lavoro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degli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ammortizzatori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social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delle prestazioni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pensionistiche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assistenziali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social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nonché delle relazioni con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le utenz</w:t>
      </w:r>
      <w:r w:rsidR="00AD2E77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del contenzioso.</w:t>
      </w:r>
    </w:p>
    <w:p w14:paraId="43E238B3" w14:textId="77777777" w:rsidR="00CD0C25" w:rsidRPr="00E87DF0" w:rsidRDefault="00120ABC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bookmarkStart w:id="2" w:name="_Hlk179101842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L’inverno demografico seg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un saldo negativo tra nascite e decessi con 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meno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897 nel 2015, 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che sale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oltre 3100 nel 2023 con un ritorno alla speranza di vita ai livelli ante Covid e gli immigrati </w:t>
      </w:r>
      <w:r w:rsidR="0098229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rappresentano 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il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10% della popolazione (89.748)</w:t>
      </w:r>
      <w:r w:rsidR="008D797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. </w:t>
      </w:r>
    </w:p>
    <w:p w14:paraId="56C3ADE6" w14:textId="47773968" w:rsidR="00120ABC" w:rsidRPr="00E87DF0" w:rsidRDefault="008D797D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 dati socio demografici ci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consegnano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la necessità di completare e implementare le politiche e le risorse a favore della natalità e dei servizi alle famiglie per conciliare lavoro e cura dei figli.</w:t>
      </w:r>
    </w:p>
    <w:p w14:paraId="34AE2807" w14:textId="3AE05AAD" w:rsidR="008D797D" w:rsidRPr="00E87DF0" w:rsidRDefault="008D797D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Il capitolo del 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mercato del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lavoro mette in evidenza un saldo netto occupazionale positivo e un tasso di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inattività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in diminuzione con 24.000 disoccupati e il tasso di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disoccupazione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che passa dal 5,1 del 2022 al 5,7 del 2023.</w:t>
      </w:r>
    </w:p>
    <w:bookmarkEnd w:id="2"/>
    <w:p w14:paraId="3FFC7B66" w14:textId="6FDDC2AD" w:rsidR="008D797D" w:rsidRPr="00E87DF0" w:rsidRDefault="008D797D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Quest</w:t>
      </w:r>
      <w:r w:rsidR="00DF69FB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a apparente contraddizione </w:t>
      </w:r>
      <w:r w:rsid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si verifica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perché nelle diverse gestioni previdenziali basta un contributo versato o una giornata retribuita nell’anno per il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calcolo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degli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occupati e nel corso del 2023 le nuove assunzioni a tempo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indeterminato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sono state 30.857 mentre i contratti a termine, stagionali, in somministrazione e con contratto intermittente sono più del doppio 79.910</w:t>
      </w:r>
      <w:r w:rsidR="00173A0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p w14:paraId="24F69F23" w14:textId="416DFDF9" w:rsidR="00E64FB3" w:rsidRPr="00E87DF0" w:rsidRDefault="00E64FB3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Questi lavoratori/ci non avendo un reddito continuativo si trovano con periodo previdenziale senza contribuzione utile per le 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loro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future pensioni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determinano una riduzione dei contributi sia previdenziali che fiscali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p w14:paraId="24EDD1A6" w14:textId="76C48B69" w:rsidR="00173A0A" w:rsidRPr="00E87DF0" w:rsidRDefault="00173A0A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lastRenderedPageBreak/>
        <w:t xml:space="preserve">Se poi si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analizzano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retribuzioni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medie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settimanili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del </w:t>
      </w:r>
      <w:bookmarkStart w:id="3" w:name="_Hlk179102412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settore privato, si nota che le femmine sono sotto la media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nazionale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mentre i maschi sono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sopra,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come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proofErr w:type="gramStart"/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sopra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lo</w:t>
      </w:r>
      <w:proofErr w:type="gramEnd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sono gli extracomunitari</w:t>
      </w:r>
      <w:r w:rsidR="00CD0C25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sia femmine che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maschi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mentre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i dipendenti pubblici sia femmine che maschi sono sotto la media nazionale.</w:t>
      </w:r>
    </w:p>
    <w:p w14:paraId="71F6D28D" w14:textId="2BD6A4B1" w:rsidR="00173A0A" w:rsidRPr="00E87DF0" w:rsidRDefault="00173A0A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Questi indicatori evidenziano la necessità di rende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più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stabili e continuativi i rapporti di lavoro ma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anche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aumentar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le </w:t>
      </w:r>
      <w:r w:rsidR="00DE22B1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retribuzioni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con attività produttive che creino più valore aggiunto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143057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rinnovando 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altresì i CCNL privati </w:t>
      </w:r>
      <w:r w:rsidR="00CD0C25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e </w:t>
      </w:r>
      <w:r w:rsidR="00E64F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pubblici scaduti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p w14:paraId="020AE738" w14:textId="38BC9C5F" w:rsidR="00E87DF0" w:rsidRPr="00A21385" w:rsidRDefault="00E87DF0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bookmarkStart w:id="4" w:name="_Hlk179102672"/>
      <w:bookmarkEnd w:id="3"/>
      <w:r w:rsidRPr="00A21385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Le entrate contributive,</w:t>
      </w:r>
      <w:r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da flussi,</w:t>
      </w:r>
      <w:r w:rsidRPr="00A21385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da recupero crediti e da vigilanza sono in aumento, ma i controlli si rivolgono a una platea bassa di imprese in quanto la carenza di ispettori nell’organico INPS non consente di aumentare le verifiche sulle irregolarità. </w:t>
      </w:r>
    </w:p>
    <w:p w14:paraId="1BC8787F" w14:textId="2B4A66CE" w:rsidR="008243B3" w:rsidRPr="00E87DF0" w:rsidRDefault="00893B2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Anche il capitolo degli ammortizzatori social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evidenzia una crescita costante delle domande di Naspi accolte</w:t>
      </w:r>
      <w:r w:rsidR="00316A1F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17.741 nel 2021 contro le 23.423 nel 2023.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48AA3E" w14:textId="77777777" w:rsidR="008243B3" w:rsidRPr="00E87DF0" w:rsidRDefault="00893B2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In aumento anche le ore utilizzare di Cassa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Integrazione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2.665.195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di ore, 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quasi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700.000 ore in più rispetto al 2022.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</w:p>
    <w:p w14:paraId="21E75B74" w14:textId="1AECF0A9" w:rsidR="00893B22" w:rsidRPr="00E87DF0" w:rsidRDefault="00316A1F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L’a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u</w:t>
      </w:r>
      <w:r w:rsidR="00893B2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mento dell’uso degli ammortizzatori sociali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rappresenta</w:t>
      </w:r>
      <w:r w:rsidR="00893B2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una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riduzione</w:t>
      </w:r>
      <w:r w:rsidR="00893B2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delle entrate contributive e una perdita consistente del potere di acquisto che anche primi 9 mesi del 2024 no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</w:t>
      </w:r>
      <w:r w:rsidR="00893B2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sta migliorando.</w:t>
      </w:r>
    </w:p>
    <w:p w14:paraId="45EA8720" w14:textId="2982543F" w:rsidR="00893B22" w:rsidRPr="00E87DF0" w:rsidRDefault="00893B2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Le prestazioni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pensionistiche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previdenziali riguardano 223.397 pensionati e le pensioni vigenti sono 258.086 i benefici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ari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assegni sociali 4.437 e di invalidità civile e/o indennità di accompagno 27.374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</w:t>
      </w:r>
      <w:r w:rsidR="00AA5BE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numeri che crescono man mano che i nati negli anni ’60, figli del Baby Boom, invecchiano.</w:t>
      </w:r>
    </w:p>
    <w:p w14:paraId="297A4CC2" w14:textId="55156129" w:rsidR="00893B22" w:rsidRPr="00E87DF0" w:rsidRDefault="00893B2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Le anticipazioni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pensionistiche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: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opzione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donna, quota 103, Ap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sociale, lavori p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ericolosi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usuranti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si sono ridotte di molto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per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l’effetto dei vincoli introdotti dal Governo così come è diminuito il potere d’acquisto delle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pensioni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sopra 4 volte il minimo (2.272€ </w:t>
      </w:r>
      <w:r w:rsidR="00316A1F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lordi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)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che hanno subito il taglio della perequazione nel 202</w:t>
      </w:r>
      <w:r w:rsidR="00316A1F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3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nel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202</w:t>
      </w:r>
      <w:r w:rsidR="00316A1F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4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p w14:paraId="3C816063" w14:textId="1873A2FE" w:rsidR="00893B22" w:rsidRPr="00E87DF0" w:rsidRDefault="00893B2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Le prestazioni assistenziali e sociali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presentano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un andamento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crescente di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prestazioni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liquidate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5.281 nel 2020 che salgono a 6.950 nel 2023 che necessitano di risorse ulteriori per i servizi assistenza domiciliare (SAD dei comuni) e assistenza domiciliare integrata (ADI dell’ULS) nonché per la non-autosufficienza </w:t>
      </w:r>
      <w:proofErr w:type="gramStart"/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proofErr w:type="gramEnd"/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i Centri Servizi Anziani.</w:t>
      </w:r>
    </w:p>
    <w:p w14:paraId="6CFFB711" w14:textId="21F71E44" w:rsidR="00694C43" w:rsidRPr="00E87DF0" w:rsidRDefault="00694C43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lastRenderedPageBreak/>
        <w:t xml:space="preserve">Il comitato, la Direzione e ULS 2 </w:t>
      </w:r>
      <w:r w:rsidR="00AA5BE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si stanno </w:t>
      </w:r>
      <w:proofErr w:type="gramStart"/>
      <w:r w:rsidR="00AA5BE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impegnando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a</w:t>
      </w:r>
      <w:proofErr w:type="gramEnd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ridurre i tempi medi di fase sanitari</w:t>
      </w:r>
      <w:r w:rsidR="007F18F0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amministrativa per il riconoscimento dell’invalidità civile salita a oltre 140gg. nel biennio 2022-2023 con una riduzione </w:t>
      </w:r>
      <w:r w:rsidR="00B104E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che riporti sotto i 100 giorni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nel corso del 2024.</w:t>
      </w:r>
    </w:p>
    <w:p w14:paraId="00169D67" w14:textId="7F272BAC" w:rsidR="00694C43" w:rsidRPr="00E87DF0" w:rsidRDefault="00D05142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Anche per il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Reddit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Libert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à che mette a disposizione un aiuto economic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400€ al mese per un anno, rivolto a donne vittime di violenza e in difficoltà, è importante che lo stanziamento di 10milioni di euro per l’anno in corso </w:t>
      </w:r>
      <w:proofErr w:type="gramStart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sia </w:t>
      </w:r>
      <w:r w:rsidR="00694C4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consolidato</w:t>
      </w:r>
      <w:proofErr w:type="gramEnd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e </w:t>
      </w:r>
      <w:r w:rsidR="00F5510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sia promosso e reso fruibile a chi può richiederlo.</w:t>
      </w:r>
    </w:p>
    <w:p w14:paraId="00D8B430" w14:textId="24F93F1D" w:rsidR="00694C43" w:rsidRPr="00E87DF0" w:rsidRDefault="00694C43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Nel 2023 è entrato a regime l’Assegno Unico per 92.437 nuclei familiari</w:t>
      </w:r>
      <w:r w:rsidR="004E6D08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4E6D08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="004E6D08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r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1</w:t>
      </w:r>
      <w:r w:rsidR="004E6D08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037 nuclei con reddito di </w:t>
      </w:r>
      <w:proofErr w:type="gramStart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cittadinanza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rispetto</w:t>
      </w:r>
      <w:proofErr w:type="gramEnd"/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a</w:t>
      </w:r>
      <w:r w:rsidR="004E6D08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3.230 del 2022 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determina</w:t>
      </w:r>
      <w:r w:rsidR="008243B3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to anche da una riduzione di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oltre il 60% in meno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di prestazione collegate al reddito di cittadinanza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.</w:t>
      </w:r>
    </w:p>
    <w:p w14:paraId="60F39DA6" w14:textId="4BE69EF1" w:rsidR="0059766A" w:rsidRPr="00E87DF0" w:rsidRDefault="00BC365E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="0059766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contezioso</w:t>
      </w:r>
      <w:r w:rsidR="0059766A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nel 2023 ha ridotto le criticità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esistenti e si sta continuando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anche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nel 2024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con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l’obiettivo migliorare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ulteriormente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la gestione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e i tempi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dei ricorsi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, per evitare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la determinazione di indebiti 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pluriennali </w:t>
      </w:r>
      <w:r w:rsidR="009A198D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difficili da recuperare.</w:t>
      </w:r>
    </w:p>
    <w:p w14:paraId="290099A7" w14:textId="175DD09D" w:rsidR="009A198D" w:rsidRPr="00E87DF0" w:rsidRDefault="009A198D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Su quest</w:t>
      </w:r>
      <w:r w:rsidR="00496699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tem</w:t>
      </w:r>
      <w:r w:rsidR="00496699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è importante continuare il confronto e l</w:t>
      </w:r>
      <w:r w:rsidR="00BC365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formazione con le categorie economiche le associazioni sindacali e i patronati/uffici vertenze per gestire con criteri omogenei </w:t>
      </w:r>
      <w:r w:rsidR="00496699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le varie prestazioni, fermo restando la necessità di adeguare gli organici dell’INPS nella sede provinciale e nelle sedi periferiche.</w:t>
      </w:r>
    </w:p>
    <w:p w14:paraId="1EF39C81" w14:textId="27AA23FC" w:rsidR="00BC365E" w:rsidRPr="00E87DF0" w:rsidRDefault="00BC365E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L’insieme dei dati presenti nel rendiconto sociale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con una gestione completa da parte degli 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nti 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L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ocali e dell’ULS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, del sistema informatico unitario dei servizi sociali</w:t>
      </w: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(SIUSS dell’INPS) e del sistema </w:t>
      </w:r>
      <w:r w:rsidR="00A32352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informatico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dell’offerta dei servizi sociali (SIOSS del Ministero del Lavoro e delle Politiche Sociali) con la banca dati dei servizi attivati e quella delle professioni e degli operatori sociali consent</w:t>
      </w:r>
      <w:r w:rsidR="00DF69FB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e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alla parti sociali economiche e istituzionali di</w:t>
      </w:r>
      <w:r w:rsidR="00DF69FB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avere una visione completa del tessuto produttivo del mercato del lavoro e dei fabbisogni socio-sanitari e di definire politiche</w:t>
      </w:r>
      <w:r w:rsid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per il futuro</w:t>
      </w:r>
      <w:r w:rsidR="00214BDE"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 xml:space="preserve"> in grado di mantenere la coesione sociale.</w:t>
      </w:r>
      <w:bookmarkEnd w:id="4"/>
    </w:p>
    <w:p w14:paraId="5B0C42F8" w14:textId="283D9B05" w:rsidR="00AA5BEA" w:rsidRPr="00E87DF0" w:rsidRDefault="00AA5BEA" w:rsidP="00E87DF0">
      <w:pPr>
        <w:spacing w:after="100" w:line="252" w:lineRule="auto"/>
        <w:jc w:val="both"/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</w:pPr>
      <w:r w:rsidRPr="00E87DF0">
        <w:rPr>
          <w:rFonts w:ascii="Titillium Web" w:eastAsiaTheme="minorEastAsia" w:hAnsi="Titillium Web"/>
          <w:kern w:val="0"/>
          <w:sz w:val="28"/>
          <w:szCs w:val="28"/>
          <w:lang w:eastAsia="it-IT"/>
          <w14:ligatures w14:val="none"/>
        </w:rPr>
        <w:t>Perché nell’oggi cammina già il domani.</w:t>
      </w:r>
    </w:p>
    <w:sectPr w:rsidR="00AA5BEA" w:rsidRPr="00E87DF0" w:rsidSect="004966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2F"/>
    <w:rsid w:val="00030643"/>
    <w:rsid w:val="00034612"/>
    <w:rsid w:val="000675F6"/>
    <w:rsid w:val="00120ABC"/>
    <w:rsid w:val="00143057"/>
    <w:rsid w:val="00173A0A"/>
    <w:rsid w:val="001C192F"/>
    <w:rsid w:val="00214BDE"/>
    <w:rsid w:val="00227EBC"/>
    <w:rsid w:val="00316A1F"/>
    <w:rsid w:val="003F3631"/>
    <w:rsid w:val="00496699"/>
    <w:rsid w:val="004A4620"/>
    <w:rsid w:val="004E6D08"/>
    <w:rsid w:val="0059766A"/>
    <w:rsid w:val="006153D8"/>
    <w:rsid w:val="00694C43"/>
    <w:rsid w:val="006E0135"/>
    <w:rsid w:val="007F18F0"/>
    <w:rsid w:val="008243B3"/>
    <w:rsid w:val="00875E7C"/>
    <w:rsid w:val="00893B22"/>
    <w:rsid w:val="008D797D"/>
    <w:rsid w:val="00982292"/>
    <w:rsid w:val="009A198D"/>
    <w:rsid w:val="00A32352"/>
    <w:rsid w:val="00A40FA4"/>
    <w:rsid w:val="00AA5BEA"/>
    <w:rsid w:val="00AD2E77"/>
    <w:rsid w:val="00B104E3"/>
    <w:rsid w:val="00BC365E"/>
    <w:rsid w:val="00CD0C25"/>
    <w:rsid w:val="00D05142"/>
    <w:rsid w:val="00DE22B1"/>
    <w:rsid w:val="00DF69FB"/>
    <w:rsid w:val="00E64FB3"/>
    <w:rsid w:val="00E87DF0"/>
    <w:rsid w:val="00EA1A5A"/>
    <w:rsid w:val="00F55102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A476"/>
  <w15:chartTrackingRefBased/>
  <w15:docId w15:val="{5C4079BC-E38A-40D6-A990-26E5771E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Spi2-Treviso</dc:creator>
  <cp:keywords/>
  <dc:description/>
  <cp:lastModifiedBy>Carone Roberta</cp:lastModifiedBy>
  <cp:revision>2</cp:revision>
  <cp:lastPrinted>2024-10-07T12:29:00Z</cp:lastPrinted>
  <dcterms:created xsi:type="dcterms:W3CDTF">2024-10-08T08:35:00Z</dcterms:created>
  <dcterms:modified xsi:type="dcterms:W3CDTF">2024-10-08T08:35:00Z</dcterms:modified>
</cp:coreProperties>
</file>